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szCs w:val="20"/>
        </w:rPr>
      </w:pPr>
      <w:r>
        <w:rPr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687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647687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6" o:title=""/>
              </v:shape>
            </w:pict>
          </mc:Fallback>
        </mc:AlternateContent>
      </w:r>
      <w:r>
        <w:rPr>
          <w:szCs w:val="20"/>
        </w:rPr>
      </w:r>
    </w:p>
    <w:p>
      <w:pPr>
        <w:pStyle w:val="Normal"/>
        <w:jc w:val="center"/>
        <w:rPr>
          <w:szCs w:val="20"/>
        </w:rPr>
      </w:pPr>
      <w:r>
        <w:rPr>
          <w:szCs w:val="20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</w:p>
    <w:p>
      <w:pPr>
        <w:pStyle w:val="Normal"/>
        <w:jc w:val="center"/>
        <w:rPr>
          <w:b/>
          <w:color w:val="ff0000"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ХАНТЫ-МАНСИЙСКИЙ АВТОНОМНЫЙ ОКРУГ </w:t>
      </w:r>
      <w:r>
        <w:rPr>
          <w:b/>
          <w:sz w:val="20"/>
          <w:szCs w:val="20"/>
        </w:rPr>
        <w:t xml:space="preserve">–</w:t>
      </w:r>
      <w:r>
        <w:rPr>
          <w:b/>
          <w:sz w:val="20"/>
          <w:szCs w:val="20"/>
        </w:rPr>
        <w:t xml:space="preserve"> ЮГРА</w:t>
      </w:r>
      <w:r>
        <w:rPr>
          <w:b/>
          <w:sz w:val="20"/>
          <w:szCs w:val="20"/>
        </w:rPr>
        <w:t xml:space="preserve">                 </w:t>
      </w:r>
      <w:r>
        <w:rPr>
          <w:b/>
          <w:color w:val="ff0000"/>
          <w:sz w:val="20"/>
          <w:szCs w:val="20"/>
        </w:rPr>
        <w:t xml:space="preserve">ПРОЕКТ</w:t>
      </w:r>
      <w:r>
        <w:rPr>
          <w:b/>
          <w:color w:val="ff0000"/>
          <w:sz w:val="20"/>
          <w:szCs w:val="20"/>
        </w:rPr>
      </w:r>
    </w:p>
    <w:p>
      <w:pPr>
        <w:pStyle w:val="Normal"/>
        <w:jc w:val="center"/>
        <w:rPr>
          <w:b/>
          <w:szCs w:val="20"/>
        </w:rPr>
      </w:pPr>
      <w:r>
        <w:rPr>
          <w:b/>
          <w:szCs w:val="20"/>
        </w:rPr>
      </w:r>
    </w:p>
    <w:p>
      <w:pPr>
        <w:pStyle w:val="Normal"/>
        <w:jc w:val="center"/>
        <w:rPr>
          <w:szCs w:val="20"/>
        </w:rPr>
      </w:pPr>
      <w:r>
        <w:rPr>
          <w:b/>
          <w:sz w:val="32"/>
          <w:szCs w:val="32"/>
        </w:rPr>
        <w:t xml:space="preserve">ДУМА БЕЛОЯРСКОГО РАЙОНА</w:t>
      </w:r>
      <w:r>
        <w:rPr>
          <w:szCs w:val="20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</w:t>
      </w: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Cs w:val="20"/>
        </w:rPr>
      </w:pPr>
      <w:r>
        <w:rPr>
          <w:b/>
          <w:szCs w:val="20"/>
        </w:rPr>
      </w:r>
    </w:p>
    <w:p>
      <w:pPr>
        <w:pStyle w:val="Normal"/>
        <w:jc w:val="center"/>
        <w:rPr>
          <w:b/>
          <w:szCs w:val="20"/>
        </w:rPr>
      </w:pPr>
      <w:r>
        <w:rPr>
          <w:b/>
          <w:szCs w:val="20"/>
        </w:rPr>
      </w:r>
    </w:p>
    <w:p>
      <w:pPr>
        <w:pStyle w:val="Normal"/>
      </w:pPr>
      <w:r>
        <w:rPr>
          <w:szCs w:val="20"/>
        </w:rPr>
        <w:t xml:space="preserve">о</w:t>
      </w:r>
      <w:r>
        <w:rPr>
          <w:szCs w:val="20"/>
        </w:rPr>
        <w:t xml:space="preserve">т</w:t>
      </w:r>
      <w:r>
        <w:rPr>
          <w:szCs w:val="20"/>
        </w:rPr>
        <w:t xml:space="preserve"> </w:t>
      </w:r>
      <w:r>
        <w:rPr>
          <w:szCs w:val="20"/>
        </w:rPr>
        <w:t xml:space="preserve">   </w:t>
      </w:r>
      <w:r>
        <w:rPr>
          <w:szCs w:val="20"/>
        </w:rPr>
        <w:t xml:space="preserve">   </w:t>
      </w:r>
      <w:r>
        <w:rPr>
          <w:szCs w:val="20"/>
        </w:rPr>
        <w:t xml:space="preserve">             </w:t>
      </w:r>
      <w:r>
        <w:rPr>
          <w:szCs w:val="20"/>
        </w:rPr>
        <w:t xml:space="preserve"> </w:t>
      </w:r>
      <w:r>
        <w:rPr>
          <w:szCs w:val="20"/>
        </w:rPr>
        <w:t xml:space="preserve">2</w:t>
      </w:r>
      <w:r>
        <w:rPr>
          <w:szCs w:val="20"/>
        </w:rPr>
        <w:t xml:space="preserve">0</w:t>
      </w:r>
      <w:r>
        <w:rPr>
          <w:szCs w:val="20"/>
        </w:rPr>
        <w:t xml:space="preserve">2</w:t>
      </w:r>
      <w:r>
        <w:rPr>
          <w:szCs w:val="20"/>
        </w:rPr>
        <w:t xml:space="preserve">6</w:t>
      </w:r>
      <w:r>
        <w:rPr>
          <w:szCs w:val="20"/>
        </w:rPr>
        <w:t xml:space="preserve"> года                                                           </w:t>
      </w:r>
      <w:r>
        <w:rPr>
          <w:szCs w:val="20"/>
        </w:rPr>
        <w:t xml:space="preserve">            </w:t>
      </w:r>
      <w:r>
        <w:rPr>
          <w:szCs w:val="20"/>
        </w:rPr>
        <w:t xml:space="preserve">            </w:t>
      </w:r>
      <w:r>
        <w:rPr>
          <w:szCs w:val="20"/>
        </w:rPr>
        <w:t xml:space="preserve">                   </w:t>
      </w:r>
      <w:r>
        <w:rPr>
          <w:szCs w:val="20"/>
        </w:rPr>
        <w:t xml:space="preserve">  </w:t>
      </w:r>
      <w:r>
        <w:rPr>
          <w:szCs w:val="20"/>
        </w:rPr>
        <w:t xml:space="preserve">№</w:t>
      </w:r>
      <w:r>
        <w:rPr>
          <w:szCs w:val="20"/>
        </w:rPr>
        <w:t xml:space="preserve"> </w:t>
      </w:r>
      <w:r>
        <w:rPr>
          <w:szCs w:val="20"/>
        </w:rPr>
        <w:t xml:space="preserve"> </w:t>
      </w:r>
    </w:p>
    <w:p>
      <w:pPr>
        <w:pStyle w:val="Normal"/>
        <w:tabs>
          <w:tab w:val="left" w:pos="720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left" w:pos="720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О</w:t>
      </w:r>
      <w:r>
        <w:rPr>
          <w:b/>
        </w:rPr>
        <w:t xml:space="preserve"> </w:t>
      </w:r>
      <w:r>
        <w:rPr>
          <w:b/>
        </w:rPr>
        <w:t xml:space="preserve">внесении изменени</w:t>
      </w:r>
      <w:r>
        <w:rPr>
          <w:b/>
        </w:rPr>
        <w:t xml:space="preserve">й</w:t>
      </w:r>
      <w:r>
        <w:rPr>
          <w:b/>
        </w:rPr>
        <w:t xml:space="preserve"> в приложение к решению Думы</w:t>
      </w:r>
      <w:r>
        <w:rPr>
          <w:b/>
        </w:rPr>
        <w:t xml:space="preserve"> </w:t>
      </w:r>
      <w:r>
        <w:rPr>
          <w:b/>
        </w:rPr>
        <w:t xml:space="preserve">Белоярского района</w:t>
      </w:r>
      <w:r>
        <w:rPr>
          <w:b/>
        </w:rPr>
        <w:t xml:space="preserve"> 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от 6 мая 2025 года № 22</w:t>
      </w:r>
      <w:r>
        <w:rPr>
          <w:b/>
        </w:rPr>
      </w:r>
    </w:p>
    <w:p>
      <w:pPr>
        <w:pStyle w:val="Normal"/>
        <w:ind w:firstLine="720"/>
      </w:pPr>
    </w:p>
    <w:p>
      <w:pPr>
        <w:pStyle w:val="Normal"/>
        <w:ind w:firstLine="708"/>
        <w:jc w:val="both"/>
      </w:pPr>
      <w:r>
        <w:t xml:space="preserve">В соответствии с</w:t>
      </w:r>
      <w:r>
        <w:t xml:space="preserve"> </w:t>
      </w:r>
      <w:r>
        <w:fldChar w:fldCharType="begin"/>
      </w:r>
      <w:r>
        <w:instrText xml:space="preserve">HYPERLINK consultantplus://offline/ref=41BDB718770C1EB7BA1C96B1D604F31E7BA7C223B17E9BED5D1FD3D466C1D4E34A288F8D241633368A937A4C9368582A4AB70C0671AD10B8293D8763nDS8G </w:instrText>
      </w:r>
      <w:r>
        <w:fldChar w:fldCharType="separate"/>
      </w:r>
      <w:r>
        <w:t xml:space="preserve">Законом</w:t>
      </w:r>
      <w:r>
        <w:fldChar w:fldCharType="end"/>
      </w:r>
      <w:r>
        <w:t xml:space="preserve"> Ханты-Мансийского автономного округа - Югры</w:t>
      </w:r>
      <w:r>
        <w:t xml:space="preserve"> </w:t>
      </w:r>
      <w:r>
        <w:t xml:space="preserve">         </w:t>
      </w:r>
      <w:r>
        <w:t xml:space="preserve">       </w:t>
      </w:r>
      <w:r>
        <w:t xml:space="preserve"> </w:t>
      </w:r>
      <w:r>
        <w:t xml:space="preserve">от </w:t>
      </w:r>
      <w:r>
        <w:t xml:space="preserve">10 апреля</w:t>
      </w:r>
      <w:r>
        <w:t xml:space="preserve"> 20</w:t>
      </w:r>
      <w:r>
        <w:t xml:space="preserve">12</w:t>
      </w:r>
      <w:r>
        <w:t xml:space="preserve"> года № </w:t>
      </w:r>
      <w:r>
        <w:t xml:space="preserve">38</w:t>
      </w:r>
      <w:r>
        <w:t xml:space="preserve">-оз «</w:t>
      </w:r>
      <w:r>
        <w:t xml:space="preserve">О регулировании отдельных вопросов организации и деятельности контрольно-счетных органов муниципальных образований </w:t>
      </w:r>
      <w:r>
        <w:t xml:space="preserve">Ханты-Манс</w:t>
      </w:r>
      <w:r>
        <w:t xml:space="preserve">ийско</w:t>
      </w:r>
      <w:r>
        <w:t xml:space="preserve">го</w:t>
      </w:r>
      <w:r>
        <w:t xml:space="preserve"> автономно</w:t>
      </w:r>
      <w:r>
        <w:t xml:space="preserve">го</w:t>
      </w:r>
      <w:r>
        <w:t xml:space="preserve"> округ</w:t>
      </w:r>
      <w:r>
        <w:t xml:space="preserve">а</w:t>
      </w:r>
      <w:r>
        <w:t xml:space="preserve"> – Югр</w:t>
      </w:r>
      <w:r>
        <w:t xml:space="preserve">ы</w:t>
      </w:r>
      <w:r>
        <w:t xml:space="preserve">»</w:t>
      </w:r>
      <w:r>
        <w:t xml:space="preserve">,</w:t>
      </w:r>
      <w:r>
        <w:t xml:space="preserve"> </w:t>
      </w:r>
      <w:r>
        <w:fldChar w:fldCharType="begin"/>
      </w:r>
      <w:r>
        <w:instrText xml:space="preserve">HYPERLINK consultantplus://offline/ref=41BDB718770C1EB7BA1C96B1D604F31E7BA7C223B17C90EF5D12D3D466C1D4E34A288F8D241633368A927B4A9168582A4AB70C0671AD10B8293D8763nDS8G </w:instrText>
      </w:r>
      <w:r>
        <w:fldChar w:fldCharType="separate"/>
      </w:r>
      <w:r>
        <w:t xml:space="preserve">статьей</w:t>
      </w:r>
      <w:r>
        <w:t xml:space="preserve"> 2</w:t>
      </w:r>
      <w:r>
        <w:t xml:space="preserve">6.5</w:t>
      </w:r>
      <w:r>
        <w:fldChar w:fldCharType="end"/>
      </w:r>
      <w:r>
        <w:t xml:space="preserve"> </w:t>
      </w:r>
      <w:r>
        <w:t xml:space="preserve">у</w:t>
      </w:r>
      <w:r>
        <w:t xml:space="preserve">става Белоярского района</w:t>
      </w:r>
      <w:r>
        <w:t xml:space="preserve">, </w:t>
      </w:r>
      <w:r>
        <w:t xml:space="preserve">постановлением Правительства Российской Федерации от 27 ноября 2025 года № 1912 «Об утверждении Правил предоставления гостиничных услуг и услуг иных средств размещения в Российской Федерации»</w:t>
      </w:r>
      <w:r>
        <w:t xml:space="preserve"> </w:t>
      </w:r>
      <w:r>
        <w:t xml:space="preserve">Дума Белоярского района р е ш и л а:</w:t>
      </w:r>
    </w:p>
    <w:p>
      <w:pPr>
        <w:pStyle w:val="HtmlNormal"/>
        <w:spacing w:before="0" w:beforeAutospacing="0" w:after="0" w:afterAutospacing="0"/>
        <w:ind w:firstLine="539"/>
        <w:jc w:val="both"/>
      </w:pPr>
      <w:r>
        <w:t xml:space="preserve">1. Внести в </w:t>
      </w:r>
      <w:r>
        <w:t xml:space="preserve">пункт 10 </w:t>
      </w:r>
      <w:r>
        <w:t xml:space="preserve">приложени</w:t>
      </w:r>
      <w:r>
        <w:t xml:space="preserve">я</w:t>
      </w:r>
      <w:r>
        <w:t xml:space="preserve"> «Порядок командирования должностного лица контрольно-счетной палаты Белоярского района, замещающего муниципальную должность Белоярского района» к решению Думы Белоярского района от 6 мая 2025 года № 22</w:t>
      </w:r>
      <w:r>
        <w:t xml:space="preserve">               </w:t>
      </w:r>
      <w:r>
        <w:t xml:space="preserve">«</w:t>
      </w:r>
      <w:r>
        <w:t xml:space="preserve">О Порядке командирования должностного лица контрольно-счетной палаты Белоярского района, замещающего муниципальную должность Белоярского района» </w:t>
      </w:r>
      <w:r>
        <w:t xml:space="preserve">следующие </w:t>
      </w:r>
      <w:r>
        <w:t xml:space="preserve">изменени</w:t>
      </w:r>
      <w:r>
        <w:t xml:space="preserve">я</w:t>
      </w:r>
      <w:r>
        <w:t xml:space="preserve">:</w:t>
      </w:r>
    </w:p>
    <w:p>
      <w:pPr>
        <w:pStyle w:val="HtmlNormal"/>
        <w:spacing w:before="0" w:beforeAutospacing="0" w:after="0" w:afterAutospacing="0"/>
        <w:ind w:firstLine="539"/>
        <w:jc w:val="both"/>
      </w:pPr>
      <w:r>
        <w:t xml:space="preserve">1) </w:t>
      </w:r>
      <w:r>
        <w:t xml:space="preserve">абзац 2 </w:t>
      </w:r>
      <w:r>
        <w:t xml:space="preserve">изложить</w:t>
      </w:r>
      <w:r>
        <w:t xml:space="preserve"> в следующей редакции: </w:t>
      </w:r>
    </w:p>
    <w:p>
      <w:pPr>
        <w:pStyle w:val="HtmlNormal"/>
        <w:spacing w:before="0" w:beforeAutospacing="0" w:after="0" w:afterAutospacing="0" w:line="288" w:lineRule="atLeast"/>
        <w:ind w:firstLine="540"/>
        <w:jc w:val="both"/>
      </w:pPr>
      <w:r>
        <w:t xml:space="preserve">«В случае отсутствия проездных документов фактический срок пребывания лица, замещающего муниципальную должность, в командировке подтверждается документами по найму жилого помещения в месте командирования. При проживании в гостинице</w:t>
      </w:r>
      <w:r>
        <w:t xml:space="preserve"> или иных средствах размещения</w:t>
      </w:r>
      <w:r>
        <w:t xml:space="preserve">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услуг</w:t>
      </w:r>
      <w:r>
        <w:t xml:space="preserve"> средств размещения</w:t>
      </w:r>
      <w:r>
        <w:t xml:space="preserve"> по месту командирования и содержащим сведения, предусмотренные </w:t>
      </w:r>
      <w:r>
        <w:t xml:space="preserve">Правилами</w:t>
      </w:r>
      <w:r>
        <w:t xml:space="preserve"> предоставления гостиничных услуг и услуг иных средств размещения в Российской Федерации, утвержденными постановлением Правительства Российской Федерации от 27 ноября 2025 года № 1912 «Об утверждении Правил предоставления гостиничных услуг и услуг иных средств раз</w:t>
      </w:r>
      <w:r>
        <w:t xml:space="preserve">мещения в Российской Федерации»</w:t>
      </w:r>
      <w:r>
        <w:t xml:space="preserve">;</w:t>
      </w:r>
    </w:p>
    <w:p>
      <w:pPr>
        <w:pStyle w:val="HtmlNormal"/>
        <w:spacing w:before="0" w:beforeAutospacing="0" w:after="0" w:afterAutospacing="0" w:line="288" w:lineRule="atLeast"/>
        <w:ind w:firstLine="540"/>
        <w:jc w:val="both"/>
      </w:pPr>
      <w:r>
        <w:t xml:space="preserve">2) </w:t>
      </w:r>
      <w:r>
        <w:t xml:space="preserve">в абзаце 3 слова «гостиничных услуг» заменить словами «услуг средств размещения».</w:t>
      </w:r>
    </w:p>
    <w:p>
      <w:pPr>
        <w:pStyle w:val="HtmlNormal"/>
        <w:spacing w:before="0" w:beforeAutospacing="0" w:after="0" w:afterAutospacing="0"/>
        <w:ind w:firstLine="539"/>
        <w:jc w:val="both"/>
      </w:pPr>
      <w:r>
        <w:t xml:space="preserve">2. Опубликовать настоящее решение в газете </w:t>
      </w:r>
      <w:r>
        <w:t xml:space="preserve">«</w:t>
      </w:r>
      <w:r>
        <w:t xml:space="preserve">Белоя</w:t>
      </w:r>
      <w:r>
        <w:t xml:space="preserve">рские вести. Официальный выпуск»</w:t>
      </w:r>
      <w:r>
        <w:t xml:space="preserve">.</w:t>
      </w:r>
    </w:p>
    <w:p>
      <w:pPr>
        <w:pStyle w:val="HtmlNormal"/>
        <w:spacing w:before="0" w:beforeAutospacing="0" w:after="0" w:afterAutospacing="0"/>
        <w:ind w:firstLine="539"/>
        <w:jc w:val="both"/>
      </w:pPr>
      <w:r>
        <w:t xml:space="preserve">3. Настоящее решение вступает в силу после его официального опубликования. </w:t>
      </w:r>
    </w:p>
    <w:p>
      <w:pPr>
        <w:pStyle w:val="Normal"/>
        <w:widowControl w:val="off"/>
        <w:jc w:val="both"/>
      </w:pPr>
    </w:p>
    <w:p>
      <w:pPr>
        <w:pStyle w:val="Normal"/>
        <w:widowControl w:val="off"/>
        <w:jc w:val="both"/>
      </w:pPr>
    </w:p>
    <w:p>
      <w:pPr>
        <w:pStyle w:val="Normal"/>
        <w:widowControl w:val="off"/>
        <w:jc w:val="both"/>
      </w:pPr>
      <w:r>
        <w:t xml:space="preserve">Председатель Думы Белоярского района                                                   </w:t>
        <w:tab/>
      </w:r>
      <w:r>
        <w:t xml:space="preserve">      </w:t>
      </w:r>
      <w:r>
        <w:t xml:space="preserve">А.Г. Берестов</w:t>
      </w:r>
    </w:p>
    <w:p>
      <w:pPr>
        <w:pStyle w:val="Normal"/>
        <w:widowControl w:val="off"/>
        <w:jc w:val="both"/>
      </w:pPr>
    </w:p>
    <w:p>
      <w:pPr>
        <w:pStyle w:val="Normal"/>
        <w:widowControl w:val="off"/>
        <w:jc w:val="both"/>
      </w:pPr>
      <w:r>
        <w:t xml:space="preserve">Глава Белоярского района</w:t>
        <w:tab/>
        <w:tab/>
        <w:tab/>
        <w:tab/>
        <w:tab/>
        <w:tab/>
        <w:tab/>
        <w:tab/>
        <w:t xml:space="preserve">      С.П. Маненков</w:t>
      </w:r>
    </w:p>
    <w:sectPr>
      <w:type w:val="nextPage"/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ahoma">
    <w:panose1 w:val="020B060403050404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paragraph" w:styleId="Heading1">
    <w:name w:val="Заголовок 1"/>
    <w:basedOn w:val="Normal"/>
    <w:next w:val="Normal"/>
    <w:link w:val="Normal"/>
    <w:qFormat/>
    <w:pPr>
      <w:keepNext/>
      <w:jc w:val="center"/>
      <w:outlineLvl w:val="0"/>
    </w:pPr>
    <w:rPr>
      <w:b/>
    </w:rPr>
  </w:style>
  <w:style w:type="paragraph" w:styleId="Heading2">
    <w:name w:val="Заголовок 2"/>
    <w:basedOn w:val="Normal"/>
    <w:next w:val="Normal"/>
    <w:link w:val="UserStyle_0"/>
    <w:unhideWhenUsed/>
    <w:qFormat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Acetate">
    <w:name w:val="Текст выноски"/>
    <w:basedOn w:val="Normal"/>
    <w:next w:val="Acetate"/>
    <w:link w:val="UserStyle_1"/>
    <w:rPr>
      <w:rFonts w:ascii="Tahoma" w:hAnsi="Tahoma" w:cs="Tahoma"/>
      <w:sz w:val="16"/>
      <w:szCs w:val="16"/>
    </w:rPr>
  </w:style>
  <w:style w:type="character" w:styleId="UserStyle_1">
    <w:name w:val="Текст выноски Знак"/>
    <w:next w:val="UserStyle_1"/>
    <w:link w:val="Acetate"/>
    <w:rPr>
      <w:rFonts w:ascii="Tahoma" w:hAnsi="Tahoma" w:cs="Tahoma"/>
      <w:sz w:val="16"/>
      <w:szCs w:val="16"/>
    </w:rPr>
  </w:style>
  <w:style w:type="paragraph" w:styleId="UserStyle_2">
    <w:name w:val="ConsPlusNormal"/>
    <w:next w:val="UserStyle_2"/>
    <w:link w:val="Normal"/>
    <w:rPr>
      <w:rFonts w:ascii="Arial" w:hAnsi="Arial" w:cs="Arial"/>
      <w:lang w:val="ru-RU" w:eastAsia="ru-RU" w:bidi="ar-SA"/>
    </w:rPr>
  </w:style>
  <w:style w:type="character" w:styleId="UserStyle_0">
    <w:name w:val="Заголовок 2 Знак"/>
    <w:next w:val="UserStyle_0"/>
    <w:link w:val="Heading2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AnnotationReference">
    <w:name w:val="Знак примечания"/>
    <w:next w:val="AnnotationReference"/>
    <w:link w:val="Normal"/>
    <w:rPr>
      <w:sz w:val="16"/>
      <w:szCs w:val="16"/>
    </w:rPr>
  </w:style>
  <w:style w:type="paragraph" w:styleId="AnnotationText">
    <w:name w:val="Текст примечания"/>
    <w:basedOn w:val="Normal"/>
    <w:next w:val="AnnotationText"/>
    <w:link w:val="UserStyle_3"/>
    <w:rPr>
      <w:sz w:val="20"/>
      <w:szCs w:val="20"/>
    </w:rPr>
  </w:style>
  <w:style w:type="character" w:styleId="UserStyle_3">
    <w:name w:val="Текст примечания Знак"/>
    <w:basedOn w:val="NormalCharacter"/>
    <w:next w:val="UserStyle_3"/>
    <w:link w:val="AnnotationText"/>
  </w:style>
  <w:style w:type="paragraph" w:styleId="AnnotationSubject">
    <w:name w:val="Тема примечания"/>
    <w:basedOn w:val="AnnotationText"/>
    <w:next w:val="AnnotationText"/>
    <w:link w:val="UserStyle_4"/>
    <w:rPr>
      <w:b/>
      <w:bCs/>
    </w:rPr>
  </w:style>
  <w:style w:type="character" w:styleId="UserStyle_4">
    <w:name w:val="Тема примечания Знак"/>
    <w:next w:val="UserStyle_4"/>
    <w:link w:val="AnnotationSubject"/>
    <w:rPr>
      <w:b/>
      <w:bCs/>
    </w:rPr>
  </w:style>
  <w:style w:type="paragraph" w:styleId="Header">
    <w:name w:val="Верхний колонтитул"/>
    <w:basedOn w:val="Normal"/>
    <w:next w:val="Header"/>
    <w:link w:val="UserStyle_5"/>
    <w:pPr>
      <w:tabs>
        <w:tab w:val="center" w:pos="4677" w:leader="none"/>
        <w:tab w:val="right" w:pos="9355" w:leader="none"/>
      </w:tabs>
    </w:pPr>
  </w:style>
  <w:style w:type="character" w:styleId="UserStyle_5">
    <w:name w:val="Верхний колонтитул Знак"/>
    <w:next w:val="UserStyle_5"/>
    <w:link w:val="Header"/>
    <w:rPr>
      <w:sz w:val="24"/>
      <w:szCs w:val="24"/>
    </w:rPr>
  </w:style>
  <w:style w:type="paragraph" w:styleId="Footer">
    <w:name w:val="Нижний колонтитул"/>
    <w:basedOn w:val="Normal"/>
    <w:next w:val="Footer"/>
    <w:link w:val="UserStyle_6"/>
    <w:pPr>
      <w:tabs>
        <w:tab w:val="center" w:pos="4677" w:leader="none"/>
        <w:tab w:val="right" w:pos="9355" w:leader="none"/>
      </w:tabs>
    </w:pPr>
  </w:style>
  <w:style w:type="character" w:styleId="UserStyle_6">
    <w:name w:val="Нижний колонтитул Знак"/>
    <w:next w:val="UserStyle_6"/>
    <w:link w:val="Footer"/>
    <w:rPr>
      <w:sz w:val="24"/>
      <w:szCs w:val="24"/>
    </w:rPr>
  </w:style>
  <w:style w:type="paragraph" w:styleId="HtmlNormal">
    <w:name w:val="Обычный (веб)"/>
    <w:basedOn w:val="Normal"/>
    <w:next w:val="HtmlNormal"/>
    <w:link w:val="Normal"/>
    <w:uiPriority w:val="99"/>
    <w:unhideWhenUsed/>
    <w:pPr>
      <w:spacing w:before="100" w:beforeAutospacing="1" w:after="100" w:afterAutospacing="1"/>
    </w:p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2512</Characters>
  <CharactersWithSpaces>2947</CharactersWithSpaces>
  <Company>WareZ Provider</Company>
  <DocSecurity>0</DocSecurity>
  <HyperlinksChanged>false</HyperlinksChanged>
  <Lines>20</Lines>
  <Pages>1</Pages>
  <Paragraphs>5</Paragraphs>
  <ScaleCrop>false</ScaleCrop>
  <SharedDoc>false</SharedDoc>
  <Template>Normal</Template>
  <Words>440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www.PHILka.RU</dc:creator>
  <cp:lastModifiedBy>GorelikovaAU</cp:lastModifiedBy>
  <cp:revision>8</cp:revision>
  <dcterms:created xsi:type="dcterms:W3CDTF">2026-02-03T05:24:00Z</dcterms:created>
  <dcterms:modified xsi:type="dcterms:W3CDTF">2026-02-06T11:24:00Z</dcterms:modified>
  <cp:version>917504</cp:version>
</cp:coreProperties>
</file>